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0" w:type="dxa"/>
        <w:jc w:val="left"/>
        <w:tblInd w:w="0" w:type="dxa"/>
        <w:tblBorders>
          <w:top w:val="single" w:sz="4" w:space="0" w:color="00000A"/>
          <w:left w:val="single" w:sz="4" w:space="0" w:color="00000A"/>
        </w:tblBorders>
        <w:tblCellMar>
          <w:top w:w="30" w:type="dxa"/>
          <w:left w:w="30" w:type="dxa"/>
          <w:bottom w:w="30" w:type="dxa"/>
          <w:right w:w="30" w:type="dxa"/>
        </w:tblCellMar>
        <w:tblLook w:noVBand="0" w:val="0000" w:noHBand="0" w:lastColumn="0" w:firstColumn="0" w:lastRow="0" w:firstRow="0"/>
      </w:tblPr>
      <w:tblGrid>
        <w:gridCol w:w="1168"/>
        <w:gridCol w:w="8461"/>
      </w:tblGrid>
      <w:tr>
        <w:trPr/>
        <w:tc>
          <w:tcPr>
            <w:tcW w:w="1168" w:type="dxa"/>
            <w:tcBorders>
              <w:top w:val="single" w:sz="4" w:space="0" w:color="00000A"/>
              <w:left w:val="single" w:sz="4" w:space="0" w:color="00000A"/>
            </w:tcBorders>
            <w:shd w:color="auto" w:fill="C2D69B" w:val="clear"/>
            <w:vAlign w:val="center"/>
          </w:tcPr>
          <w:p>
            <w:pPr>
              <w:pStyle w:val="NormalWeb"/>
              <w:spacing w:before="280" w:after="119"/>
              <w:ind w:right="11" w:hanging="0"/>
              <w:jc w:val="right"/>
              <w:rPr>
                <w:rFonts w:ascii="Verdana" w:hAnsi="Verdana" w:cs="Arial"/>
                <w:b/>
                <w:b/>
                <w:sz w:val="20"/>
                <w:szCs w:val="20"/>
              </w:rPr>
            </w:pPr>
            <w:r>
              <w:rPr>
                <w:rFonts w:cs="Arial" w:ascii="Verdana" w:hAnsi="Verdana"/>
                <w:b/>
                <w:bCs/>
                <w:color w:val="005F60"/>
                <w:sz w:val="20"/>
                <w:szCs w:val="20"/>
              </w:rPr>
              <w:t>Titre</w:t>
            </w:r>
          </w:p>
        </w:tc>
        <w:tc>
          <w:tcPr>
            <w:tcW w:w="8461" w:type="dxa"/>
            <w:tcBorders>
              <w:top w:val="single" w:sz="4" w:space="0" w:color="00000A"/>
              <w:right w:val="single" w:sz="4" w:space="0" w:color="00000A"/>
              <w:insideV w:val="single" w:sz="4" w:space="0" w:color="00000A"/>
            </w:tcBorders>
            <w:shd w:fill="auto" w:val="clear"/>
            <w:vAlign w:val="center"/>
          </w:tcPr>
          <w:p>
            <w:pPr>
              <w:pStyle w:val="Normal"/>
              <w:rPr>
                <w:rFonts w:ascii="Verdana" w:hAnsi="Verdana" w:cs="Arial"/>
                <w:sz w:val="20"/>
                <w:szCs w:val="20"/>
              </w:rPr>
            </w:pPr>
            <w:r>
              <w:rPr>
                <w:rFonts w:cs="Arial" w:ascii="Verdana" w:hAnsi="Verdana"/>
                <w:sz w:val="20"/>
                <w:szCs w:val="20"/>
              </w:rPr>
              <w:t>Structure des fichiers BNV-D « Registres des ventes »</w:t>
            </w:r>
          </w:p>
        </w:tc>
      </w:tr>
      <w:tr>
        <w:trPr/>
        <w:tc>
          <w:tcPr>
            <w:tcW w:w="1168" w:type="dxa"/>
            <w:tcBorders>
              <w:left w:val="single" w:sz="4" w:space="0" w:color="00000A"/>
            </w:tcBorders>
            <w:shd w:color="auto" w:fill="C2D69B" w:val="clear"/>
            <w:vAlign w:val="center"/>
          </w:tcPr>
          <w:p>
            <w:pPr>
              <w:pStyle w:val="NormalWeb"/>
              <w:spacing w:before="280" w:after="119"/>
              <w:ind w:right="11" w:hanging="0"/>
              <w:jc w:val="right"/>
              <w:rPr>
                <w:rFonts w:ascii="Verdana" w:hAnsi="Verdana" w:cs="Arial"/>
                <w:b/>
                <w:b/>
                <w:sz w:val="20"/>
                <w:szCs w:val="20"/>
              </w:rPr>
            </w:pPr>
            <w:r>
              <w:rPr>
                <w:rFonts w:cs="Arial" w:ascii="Verdana" w:hAnsi="Verdana"/>
                <w:b/>
                <w:bCs/>
                <w:color w:val="005F60"/>
                <w:sz w:val="20"/>
                <w:szCs w:val="20"/>
              </w:rPr>
              <w:t>Créateur</w:t>
            </w:r>
          </w:p>
        </w:tc>
        <w:tc>
          <w:tcPr>
            <w:tcW w:w="8461" w:type="dxa"/>
            <w:tcBorders>
              <w:right w:val="single" w:sz="4" w:space="0" w:color="00000A"/>
              <w:insideV w:val="single" w:sz="4" w:space="0" w:color="00000A"/>
            </w:tcBorders>
            <w:shd w:fill="auto" w:val="clear"/>
            <w:vAlign w:val="center"/>
          </w:tcPr>
          <w:p>
            <w:pPr>
              <w:pStyle w:val="NormalWeb"/>
              <w:spacing w:before="280" w:after="119"/>
              <w:ind w:right="11" w:hanging="0"/>
              <w:rPr>
                <w:rFonts w:ascii="Verdana" w:hAnsi="Verdana" w:cs="Arial"/>
                <w:sz w:val="20"/>
                <w:szCs w:val="20"/>
              </w:rPr>
            </w:pPr>
            <w:r>
              <w:rPr>
                <w:rFonts w:cs="Arial" w:ascii="Verdana" w:hAnsi="Verdana"/>
                <w:bCs/>
                <w:color w:val="005F60"/>
                <w:sz w:val="20"/>
                <w:szCs w:val="20"/>
              </w:rPr>
              <w:t>Antonio Andrade</w:t>
            </w:r>
          </w:p>
        </w:tc>
      </w:tr>
      <w:tr>
        <w:trPr/>
        <w:tc>
          <w:tcPr>
            <w:tcW w:w="1168" w:type="dxa"/>
            <w:tcBorders>
              <w:left w:val="single" w:sz="4" w:space="0" w:color="00000A"/>
            </w:tcBorders>
            <w:shd w:color="auto" w:fill="C2D69B" w:val="clear"/>
            <w:vAlign w:val="center"/>
          </w:tcPr>
          <w:p>
            <w:pPr>
              <w:pStyle w:val="NormalWeb"/>
              <w:spacing w:before="280" w:after="119"/>
              <w:ind w:right="11" w:hanging="0"/>
              <w:jc w:val="right"/>
              <w:rPr>
                <w:rFonts w:ascii="Verdana" w:hAnsi="Verdana" w:cs="Arial"/>
                <w:b/>
                <w:b/>
                <w:sz w:val="20"/>
                <w:szCs w:val="20"/>
              </w:rPr>
            </w:pPr>
            <w:r>
              <w:rPr>
                <w:rFonts w:cs="Arial" w:ascii="Verdana" w:hAnsi="Verdana"/>
                <w:b/>
                <w:bCs/>
                <w:color w:val="005F60"/>
                <w:sz w:val="20"/>
                <w:szCs w:val="20"/>
              </w:rPr>
              <w:t>Éditeur</w:t>
            </w:r>
          </w:p>
        </w:tc>
        <w:tc>
          <w:tcPr>
            <w:tcW w:w="8461" w:type="dxa"/>
            <w:tcBorders>
              <w:right w:val="single" w:sz="4" w:space="0" w:color="00000A"/>
              <w:insideV w:val="single" w:sz="4" w:space="0" w:color="00000A"/>
            </w:tcBorders>
            <w:shd w:fill="auto" w:val="clear"/>
            <w:vAlign w:val="center"/>
          </w:tcPr>
          <w:p>
            <w:pPr>
              <w:pStyle w:val="NormalWeb"/>
              <w:spacing w:before="280" w:after="119"/>
              <w:ind w:right="11" w:hanging="0"/>
              <w:rPr>
                <w:rFonts w:ascii="Verdana" w:hAnsi="Verdana" w:cs="Arial"/>
                <w:sz w:val="20"/>
                <w:szCs w:val="20"/>
              </w:rPr>
            </w:pPr>
            <w:r>
              <w:rPr>
                <w:rFonts w:cs="Arial" w:ascii="Verdana" w:hAnsi="Verdana"/>
                <w:bCs/>
                <w:color w:val="005F60"/>
                <w:sz w:val="20"/>
                <w:szCs w:val="20"/>
              </w:rPr>
              <w:t>Agence Française pour la Biodiversité</w:t>
            </w:r>
          </w:p>
        </w:tc>
      </w:tr>
      <w:tr>
        <w:trPr/>
        <w:tc>
          <w:tcPr>
            <w:tcW w:w="1168" w:type="dxa"/>
            <w:tcBorders>
              <w:left w:val="single" w:sz="4" w:space="0" w:color="00000A"/>
            </w:tcBorders>
            <w:shd w:color="auto" w:fill="C2D69B" w:val="clear"/>
            <w:vAlign w:val="center"/>
          </w:tcPr>
          <w:p>
            <w:pPr>
              <w:pStyle w:val="NormalWeb"/>
              <w:spacing w:before="280" w:after="119"/>
              <w:ind w:right="11" w:hanging="0"/>
              <w:jc w:val="right"/>
              <w:rPr>
                <w:rFonts w:ascii="Verdana" w:hAnsi="Verdana" w:cs="Arial"/>
                <w:b/>
                <w:b/>
                <w:sz w:val="20"/>
                <w:szCs w:val="20"/>
              </w:rPr>
            </w:pPr>
            <w:r>
              <w:rPr>
                <w:rFonts w:cs="Arial" w:ascii="Verdana" w:hAnsi="Verdana"/>
                <w:b/>
                <w:bCs/>
                <w:color w:val="005F60"/>
                <w:sz w:val="20"/>
                <w:szCs w:val="20"/>
              </w:rPr>
              <w:t>Version</w:t>
            </w:r>
          </w:p>
        </w:tc>
        <w:tc>
          <w:tcPr>
            <w:tcW w:w="8461" w:type="dxa"/>
            <w:tcBorders>
              <w:right w:val="single" w:sz="4" w:space="0" w:color="00000A"/>
              <w:insideV w:val="single" w:sz="4" w:space="0" w:color="00000A"/>
            </w:tcBorders>
            <w:shd w:fill="auto" w:val="clear"/>
            <w:vAlign w:val="center"/>
          </w:tcPr>
          <w:p>
            <w:pPr>
              <w:pStyle w:val="NormalWeb"/>
              <w:spacing w:before="280" w:after="119"/>
              <w:ind w:right="11" w:hanging="0"/>
              <w:rPr>
                <w:rFonts w:ascii="Verdana" w:hAnsi="Verdana" w:cs="Arial"/>
                <w:sz w:val="20"/>
                <w:szCs w:val="20"/>
              </w:rPr>
            </w:pPr>
            <w:r>
              <w:rPr>
                <w:rFonts w:cs="Arial" w:ascii="Verdana" w:hAnsi="Verdana"/>
                <w:bCs/>
                <w:color w:val="005F60"/>
                <w:sz w:val="20"/>
                <w:szCs w:val="20"/>
              </w:rPr>
              <w:t>V1</w:t>
            </w:r>
          </w:p>
        </w:tc>
      </w:tr>
      <w:tr>
        <w:trPr/>
        <w:tc>
          <w:tcPr>
            <w:tcW w:w="1168" w:type="dxa"/>
            <w:tcBorders>
              <w:left w:val="single" w:sz="4" w:space="0" w:color="00000A"/>
            </w:tcBorders>
            <w:shd w:color="auto" w:fill="C2D69B" w:val="clear"/>
            <w:vAlign w:val="center"/>
          </w:tcPr>
          <w:p>
            <w:pPr>
              <w:pStyle w:val="NormalWeb"/>
              <w:spacing w:before="280" w:after="119"/>
              <w:ind w:right="11" w:hanging="0"/>
              <w:jc w:val="right"/>
              <w:rPr>
                <w:rFonts w:ascii="Verdana" w:hAnsi="Verdana" w:cs="Arial"/>
                <w:b/>
                <w:b/>
                <w:sz w:val="20"/>
                <w:szCs w:val="20"/>
              </w:rPr>
            </w:pPr>
            <w:r>
              <w:rPr>
                <w:rFonts w:cs="Arial" w:ascii="Verdana" w:hAnsi="Verdana"/>
                <w:b/>
                <w:bCs/>
                <w:color w:val="005F60"/>
                <w:sz w:val="20"/>
                <w:szCs w:val="20"/>
              </w:rPr>
              <w:t>Diffusion</w:t>
            </w:r>
          </w:p>
        </w:tc>
        <w:tc>
          <w:tcPr>
            <w:tcW w:w="8461" w:type="dxa"/>
            <w:tcBorders>
              <w:right w:val="single" w:sz="4" w:space="0" w:color="00000A"/>
              <w:insideV w:val="single" w:sz="4" w:space="0" w:color="00000A"/>
            </w:tcBorders>
            <w:shd w:fill="auto" w:val="clear"/>
            <w:vAlign w:val="center"/>
          </w:tcPr>
          <w:p>
            <w:pPr>
              <w:pStyle w:val="NormalWeb"/>
              <w:spacing w:before="280" w:after="119"/>
              <w:ind w:right="11" w:hanging="0"/>
              <w:rPr>
                <w:rFonts w:ascii="Verdana" w:hAnsi="Verdana" w:cs="Arial"/>
                <w:sz w:val="20"/>
                <w:szCs w:val="20"/>
              </w:rPr>
            </w:pPr>
            <w:r>
              <w:rPr>
                <w:rFonts w:cs="Arial" w:ascii="Verdana" w:hAnsi="Verdana"/>
                <w:sz w:val="20"/>
                <w:szCs w:val="20"/>
              </w:rPr>
            </w:r>
          </w:p>
        </w:tc>
      </w:tr>
      <w:tr>
        <w:trPr/>
        <w:tc>
          <w:tcPr>
            <w:tcW w:w="1168" w:type="dxa"/>
            <w:tcBorders>
              <w:left w:val="single" w:sz="4" w:space="0" w:color="00000A"/>
              <w:bottom w:val="single" w:sz="4" w:space="0" w:color="00000A"/>
              <w:insideH w:val="single" w:sz="4" w:space="0" w:color="00000A"/>
            </w:tcBorders>
            <w:shd w:color="auto" w:fill="C2D69B" w:val="clear"/>
            <w:vAlign w:val="center"/>
          </w:tcPr>
          <w:p>
            <w:pPr>
              <w:pStyle w:val="NormalWeb"/>
              <w:spacing w:before="280" w:after="119"/>
              <w:ind w:right="11" w:hanging="0"/>
              <w:jc w:val="right"/>
              <w:rPr>
                <w:rFonts w:ascii="Verdana" w:hAnsi="Verdana" w:cs="Arial"/>
                <w:b/>
                <w:b/>
                <w:sz w:val="20"/>
                <w:szCs w:val="20"/>
              </w:rPr>
            </w:pPr>
            <w:r>
              <w:rPr>
                <w:rFonts w:cs="Arial" w:ascii="Verdana" w:hAnsi="Verdana"/>
                <w:b/>
                <w:bCs/>
                <w:color w:val="005F60"/>
                <w:sz w:val="20"/>
                <w:szCs w:val="20"/>
              </w:rPr>
              <w:t>Date</w:t>
            </w:r>
          </w:p>
        </w:tc>
        <w:tc>
          <w:tcPr>
            <w:tcW w:w="8461" w:type="dxa"/>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Web"/>
              <w:spacing w:before="280" w:after="119"/>
              <w:ind w:right="11" w:hanging="0"/>
              <w:rPr>
                <w:rFonts w:ascii="Verdana" w:hAnsi="Verdana" w:cs="Arial"/>
                <w:sz w:val="20"/>
                <w:szCs w:val="20"/>
              </w:rPr>
            </w:pPr>
            <w:r>
              <w:rPr>
                <w:rFonts w:cs="Arial" w:ascii="Verdana" w:hAnsi="Verdana"/>
                <w:sz w:val="20"/>
                <w:szCs w:val="20"/>
              </w:rPr>
              <w:t>A définir</w:t>
            </w:r>
          </w:p>
        </w:tc>
      </w:tr>
    </w:tbl>
    <w:p>
      <w:pPr>
        <w:pStyle w:val="Normal"/>
        <w:jc w:val="both"/>
        <w:rPr>
          <w:rFonts w:ascii="Verdana" w:hAnsi="Verdana" w:cs="Arial"/>
          <w:sz w:val="20"/>
          <w:szCs w:val="20"/>
        </w:rPr>
      </w:pPr>
      <w:r>
        <w:rPr>
          <w:rFonts w:cs="Arial" w:ascii="Verdana" w:hAnsi="Verdana"/>
          <w:sz w:val="20"/>
          <w:szCs w:val="20"/>
        </w:rPr>
      </w:r>
    </w:p>
    <w:p>
      <w:pPr>
        <w:pStyle w:val="Normal"/>
        <w:jc w:val="both"/>
        <w:rPr/>
      </w:pPr>
      <w:r>
        <w:rPr>
          <w:rFonts w:cs="Arial" w:ascii="Verdana" w:hAnsi="Verdana"/>
          <w:sz w:val="20"/>
          <w:szCs w:val="20"/>
        </w:rPr>
        <w:t xml:space="preserve">La </w:t>
      </w:r>
      <w:hyperlink r:id="rId2">
        <w:r>
          <w:rPr>
            <w:rStyle w:val="LienInternet"/>
            <w:rFonts w:cs="Arial" w:ascii="Verdana" w:hAnsi="Verdana"/>
            <w:sz w:val="20"/>
            <w:szCs w:val="20"/>
          </w:rPr>
          <w:t>Loi sur l’Eau et les Milieux Aquatiques de 2006</w:t>
        </w:r>
      </w:hyperlink>
      <w:r>
        <w:rPr>
          <w:rFonts w:cs="Arial" w:ascii="Verdana" w:hAnsi="Verdana"/>
          <w:sz w:val="20"/>
          <w:szCs w:val="20"/>
        </w:rPr>
        <w:t xml:space="preserve"> a institué l’obligation pour les distributeurs de produits phytosanitaires de déclarer leurs ventes annuelles de produits phytosanitaires avant le 31 mars de l’année suivant celles-ci auprès des agences et offices de l’eau dont dépendent leurs sièges dans les conditions fixées par ces dernières. Cette déclaration doit permettre de suivre les ventes sur le territoire national pour mieux évaluer et gérer le risque « pesticides » mais aussi d’établir le montant de la redevance pour pollutions diffuses pour chacun de ces distributeurs. En effet, ce montant est fonction de la quantité commercialisée et de la composition en substances de chaque produit vendus, le </w:t>
      </w:r>
      <w:hyperlink r:id="rId3">
        <w:r>
          <w:rPr>
            <w:rStyle w:val="LienInternet"/>
            <w:rFonts w:cs="Arial" w:ascii="Verdana" w:hAnsi="Verdana"/>
            <w:sz w:val="20"/>
            <w:szCs w:val="20"/>
          </w:rPr>
          <w:t>code de l’environnement (art. L. 213-10-8)</w:t>
        </w:r>
      </w:hyperlink>
      <w:r>
        <w:rPr>
          <w:rFonts w:cs="Arial" w:ascii="Verdana" w:hAnsi="Verdana"/>
          <w:sz w:val="20"/>
          <w:szCs w:val="20"/>
        </w:rPr>
        <w:t xml:space="preserve"> définissant les catégories de substances taxées et les taux associés.</w:t>
      </w:r>
    </w:p>
    <w:p>
      <w:pPr>
        <w:pStyle w:val="Normal"/>
        <w:jc w:val="both"/>
        <w:rPr>
          <w:rFonts w:ascii="Verdana" w:hAnsi="Verdana" w:cs="Arial"/>
          <w:sz w:val="20"/>
          <w:szCs w:val="20"/>
        </w:rPr>
      </w:pPr>
      <w:r>
        <w:rPr>
          <w:rFonts w:cs="Arial" w:ascii="Verdana" w:hAnsi="Verdana"/>
          <w:sz w:val="20"/>
          <w:szCs w:val="20"/>
        </w:rPr>
      </w:r>
    </w:p>
    <w:p>
      <w:pPr>
        <w:pStyle w:val="Normal"/>
        <w:jc w:val="both"/>
        <w:rPr/>
      </w:pPr>
      <w:r>
        <w:rPr>
          <w:rFonts w:cs="Arial" w:ascii="Verdana" w:hAnsi="Verdana"/>
          <w:sz w:val="20"/>
          <w:szCs w:val="20"/>
        </w:rPr>
        <w:t xml:space="preserve">Les données déclaratives réalisées par les distributeurs agréés de vente de produits sont stockées dans la banque nationale des ventes de produits phytosanitaires (BNV-D). Les données saisies en quantités de produits vendus sont ensuite transformées en quantités de substances actives grâce à un référentiel de données fournissant la composition des produits et le classement des substances au regard des </w:t>
      </w:r>
      <w:hyperlink r:id="rId4">
        <w:r>
          <w:rPr>
            <w:rStyle w:val="LienInternet"/>
            <w:rFonts w:cs="Arial" w:ascii="Verdana" w:hAnsi="Verdana"/>
            <w:sz w:val="20"/>
            <w:szCs w:val="20"/>
          </w:rPr>
          <w:t>arrêtés pris chaque année listant les substances soumises à la redevance pour pollutions diffuses</w:t>
        </w:r>
      </w:hyperlink>
      <w:r>
        <w:rPr>
          <w:rFonts w:cs="Arial" w:ascii="Verdana" w:hAnsi="Verdana"/>
          <w:sz w:val="20"/>
          <w:szCs w:val="20"/>
        </w:rPr>
        <w:t>.</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Les déclarations des distributeurs prennent deux formes :</w:t>
      </w:r>
    </w:p>
    <w:p>
      <w:pPr>
        <w:pStyle w:val="ListParagraph"/>
        <w:numPr>
          <w:ilvl w:val="0"/>
          <w:numId w:val="2"/>
        </w:numPr>
        <w:jc w:val="both"/>
        <w:rPr>
          <w:rFonts w:ascii="Verdana" w:hAnsi="Verdana" w:cs="Arial"/>
          <w:sz w:val="20"/>
          <w:szCs w:val="20"/>
        </w:rPr>
      </w:pPr>
      <w:r>
        <w:rPr>
          <w:rFonts w:cs="Arial" w:ascii="Verdana" w:hAnsi="Verdana"/>
          <w:sz w:val="20"/>
          <w:szCs w:val="20"/>
        </w:rPr>
        <w:t>les bilans. En vigueur depuis 2009, ce format rapporte les ventes de produits réalisées par chaque établissement d'un distributeur agrégées par département ;</w:t>
      </w:r>
    </w:p>
    <w:p>
      <w:pPr>
        <w:pStyle w:val="ListParagraph"/>
        <w:numPr>
          <w:ilvl w:val="0"/>
          <w:numId w:val="2"/>
        </w:numPr>
        <w:jc w:val="both"/>
        <w:rPr>
          <w:rFonts w:ascii="Verdana" w:hAnsi="Verdana" w:cs="Arial"/>
          <w:sz w:val="20"/>
          <w:szCs w:val="20"/>
        </w:rPr>
      </w:pPr>
      <w:r>
        <w:rPr>
          <w:rFonts w:cs="Arial" w:ascii="Verdana" w:hAnsi="Verdana"/>
          <w:sz w:val="20"/>
          <w:szCs w:val="20"/>
        </w:rPr>
        <w:t>les registres. En vigueur depuis 2015, ce format rapporte les ventes de produits réalisées par chaque établissement d'un distributeur, accompagnées du code postal de l’acheteur.</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En fonction de ses obligations, le distributeur renseigne un bilan (vente pour un usage particulier) et/ou un registre (vente pour un usage professionnel), parfois à différents moments. La redevance est calculée sur la base des données du bilan. Lorsqu’il n’a pas été renseigné, le bilan est généré à partir des données du registre. Il est impossible de générer un registre à partir des données d’un bilan. Par conséquent :</w:t>
      </w:r>
    </w:p>
    <w:p>
      <w:pPr>
        <w:pStyle w:val="Normal"/>
        <w:numPr>
          <w:ilvl w:val="0"/>
          <w:numId w:val="3"/>
        </w:numPr>
        <w:jc w:val="both"/>
        <w:rPr>
          <w:rFonts w:ascii="Verdana" w:hAnsi="Verdana" w:cs="Arial"/>
          <w:sz w:val="20"/>
          <w:szCs w:val="20"/>
        </w:rPr>
      </w:pPr>
      <w:r>
        <w:rPr>
          <w:rFonts w:cs="Arial" w:ascii="Verdana" w:hAnsi="Verdana"/>
          <w:sz w:val="20"/>
          <w:szCs w:val="20"/>
        </w:rPr>
        <w:t>Les registres représentent une partie des déclarations ;</w:t>
      </w:r>
    </w:p>
    <w:p>
      <w:pPr>
        <w:pStyle w:val="Normal"/>
        <w:numPr>
          <w:ilvl w:val="0"/>
          <w:numId w:val="3"/>
        </w:numPr>
        <w:jc w:val="both"/>
        <w:rPr>
          <w:rFonts w:ascii="Verdana" w:hAnsi="Verdana" w:cs="Arial"/>
          <w:sz w:val="20"/>
          <w:szCs w:val="20"/>
        </w:rPr>
      </w:pPr>
      <w:r>
        <w:rPr>
          <w:rFonts w:cs="Arial" w:ascii="Verdana" w:hAnsi="Verdana"/>
          <w:sz w:val="20"/>
          <w:szCs w:val="20"/>
        </w:rPr>
        <w:t>Lorsque bilan et registre coexistent, il peut exister un écart entre ces données si elles ont été transmises à différents moments ;</w:t>
      </w:r>
    </w:p>
    <w:p>
      <w:pPr>
        <w:pStyle w:val="Normal"/>
        <w:numPr>
          <w:ilvl w:val="0"/>
          <w:numId w:val="3"/>
        </w:numPr>
        <w:jc w:val="both"/>
        <w:rPr>
          <w:rFonts w:ascii="Verdana" w:hAnsi="Verdana" w:cs="Arial"/>
          <w:sz w:val="20"/>
          <w:szCs w:val="20"/>
        </w:rPr>
      </w:pPr>
      <w:r>
        <w:rPr>
          <w:rFonts w:cs="Arial" w:ascii="Verdana" w:hAnsi="Verdana"/>
          <w:sz w:val="20"/>
          <w:szCs w:val="20"/>
        </w:rPr>
        <w:t>Un traitement des ventes de pesticides réalisé à partir des bilans produira un résultat légèrement différent du même traitement réalisé à partir des registres.</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Les quantités de produits et substances ne sont représentatives de la dernière année de vente déclarée que fin juin, et proches de l’exhaustivité que fin septembre.</w:t>
        <w:br/>
        <w:t>Les quantités des années précédentes peuvent aussi évoluer en fonction des versements de bilans et registres rectifiés, notamment suite aux contrôles des déclarations.</w:t>
        <w:br/>
        <w:t>Les quantités ne sont figées que lorsque 3 années se sont écoulées après l’année de vente.</w:t>
      </w:r>
    </w:p>
    <w:p>
      <w:pPr>
        <w:pStyle w:val="Normal"/>
        <w:rPr>
          <w:rFonts w:ascii="Verdana" w:hAnsi="Verdana" w:cs="Arial"/>
          <w:sz w:val="20"/>
          <w:szCs w:val="20"/>
        </w:rPr>
      </w:pPr>
      <w:r>
        <w:rPr>
          <w:rFonts w:cs="Arial" w:ascii="Verdana" w:hAnsi="Verdana"/>
          <w:sz w:val="20"/>
          <w:szCs w:val="20"/>
        </w:rPr>
      </w:r>
      <w:r>
        <w:br w:type="page"/>
      </w:r>
    </w:p>
    <w:p>
      <w:pPr>
        <w:pStyle w:val="Normal"/>
        <w:jc w:val="both"/>
        <w:rPr>
          <w:rFonts w:ascii="Verdana" w:hAnsi="Verdana" w:cs="Arial"/>
          <w:sz w:val="20"/>
          <w:szCs w:val="20"/>
        </w:rPr>
      </w:pPr>
      <w:bookmarkStart w:id="0" w:name="_GoBack"/>
      <w:bookmarkEnd w:id="0"/>
      <w:r>
        <w:rPr>
          <w:rFonts w:cs="Arial" w:ascii="Verdana" w:hAnsi="Verdana"/>
          <w:sz w:val="20"/>
          <w:szCs w:val="20"/>
        </w:rPr>
        <w:t>Le tableau ci-dessous décrit les champs des fichiers CSV enregistrant les données des registres des ventes. Cette documentation est extraite de la « Notice d’utilisation de l’outil d’exploration » de la « Banque Nationale des Ventes réalisées par les Distributeurs des produits phytopharmaceutiques » (BNV-D). Chaque fichier enregistre les données d’une année de vente.</w:t>
      </w:r>
    </w:p>
    <w:p>
      <w:pPr>
        <w:pStyle w:val="Normal"/>
        <w:jc w:val="both"/>
        <w:rPr>
          <w:rFonts w:ascii="Verdana" w:hAnsi="Verdana" w:cs="Arial"/>
          <w:sz w:val="20"/>
          <w:szCs w:val="20"/>
        </w:rPr>
      </w:pPr>
      <w:r>
        <w:rPr>
          <w:rFonts w:cs="Arial" w:ascii="Verdana" w:hAnsi="Verdana"/>
          <w:sz w:val="20"/>
          <w:szCs w:val="20"/>
        </w:rPr>
      </w:r>
    </w:p>
    <w:tbl>
      <w:tblPr>
        <w:tblW w:w="9288" w:type="dxa"/>
        <w:jc w:val="left"/>
        <w:tblInd w:w="0" w:type="dxa"/>
        <w:tblBorders>
          <w:top w:val="single" w:sz="18" w:space="0" w:color="00000A"/>
        </w:tblBorders>
        <w:tblCellMar>
          <w:top w:w="0" w:type="dxa"/>
          <w:left w:w="108" w:type="dxa"/>
          <w:bottom w:w="0" w:type="dxa"/>
          <w:right w:w="108" w:type="dxa"/>
        </w:tblCellMar>
        <w:tblLook w:noVBand="1" w:val="04a0" w:noHBand="0" w:lastColumn="0" w:firstColumn="1" w:lastRow="0" w:firstRow="1"/>
      </w:tblPr>
      <w:tblGrid>
        <w:gridCol w:w="959"/>
        <w:gridCol w:w="3964"/>
        <w:gridCol w:w="4365"/>
      </w:tblGrid>
      <w:tr>
        <w:trPr>
          <w:cantSplit w:val="true"/>
        </w:trPr>
        <w:tc>
          <w:tcPr>
            <w:tcW w:w="959" w:type="dxa"/>
            <w:tcBorders>
              <w:top w:val="single" w:sz="18" w:space="0" w:color="00000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top w:val="single" w:sz="18" w:space="0" w:color="00000A"/>
            </w:tcBorders>
            <w:shd w:color="auto" w:fill="D8D8D8" w:val="clear"/>
          </w:tcPr>
          <w:p>
            <w:pPr>
              <w:pStyle w:val="Normal"/>
              <w:jc w:val="both"/>
              <w:rPr>
                <w:rFonts w:ascii="Verdana" w:hAnsi="Verdana"/>
                <w:b/>
                <w:b/>
                <w:color w:val="000000"/>
                <w:sz w:val="20"/>
                <w:szCs w:val="20"/>
              </w:rPr>
            </w:pPr>
            <w:r>
              <w:rPr>
                <w:rFonts w:ascii="Verdana" w:hAnsi="Verdana"/>
                <w:b/>
                <w:color w:val="000000"/>
                <w:sz w:val="20"/>
                <w:szCs w:val="20"/>
              </w:rPr>
              <w:t>Siret Distributeur</w:t>
            </w:r>
          </w:p>
        </w:tc>
        <w:tc>
          <w:tcPr>
            <w:tcW w:w="4365" w:type="dxa"/>
            <w:tcBorders>
              <w:top w:val="single" w:sz="18" w:space="0" w:color="00000A"/>
            </w:tcBorders>
            <w:shd w:color="auto" w:fill="D8D8D8" w:val="clear"/>
          </w:tcPr>
          <w:p>
            <w:pPr>
              <w:pStyle w:val="Normal"/>
              <w:jc w:val="both"/>
              <w:rPr>
                <w:rFonts w:ascii="Verdana" w:hAnsi="Verdana"/>
                <w:color w:val="000000"/>
                <w:sz w:val="20"/>
                <w:szCs w:val="20"/>
              </w:rPr>
            </w:pPr>
            <w:r>
              <w:rPr>
                <w:rFonts w:ascii="Verdana" w:hAnsi="Verdana"/>
                <w:color w:val="000000"/>
                <w:sz w:val="20"/>
                <w:szCs w:val="20"/>
              </w:rPr>
              <w:t>Code SIRET du distributeur</w:t>
            </w:r>
          </w:p>
        </w:tc>
      </w:tr>
      <w:tr>
        <w:trPr>
          <w:cantSplit w:val="true"/>
        </w:trPr>
        <w:tc>
          <w:tcPr>
            <w:tcW w:w="959" w:type="dx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shd w:fill="auto" w:val="clear"/>
          </w:tcPr>
          <w:p>
            <w:pPr>
              <w:pStyle w:val="Normal"/>
              <w:jc w:val="both"/>
              <w:rPr>
                <w:rFonts w:ascii="Verdana" w:hAnsi="Verdana"/>
                <w:b/>
                <w:b/>
                <w:color w:val="000000"/>
                <w:sz w:val="20"/>
                <w:szCs w:val="20"/>
              </w:rPr>
            </w:pPr>
            <w:r>
              <w:rPr>
                <w:rFonts w:ascii="Verdana" w:hAnsi="Verdana"/>
                <w:b/>
                <w:color w:val="000000"/>
                <w:sz w:val="20"/>
                <w:szCs w:val="20"/>
              </w:rPr>
              <w:t>Nom Distributeur</w:t>
            </w:r>
          </w:p>
        </w:tc>
        <w:tc>
          <w:tcPr>
            <w:tcW w:w="4365" w:type="dxa"/>
            <w:tcBorders/>
            <w:shd w:fill="auto" w:val="clear"/>
          </w:tcPr>
          <w:p>
            <w:pPr>
              <w:pStyle w:val="Normal"/>
              <w:jc w:val="both"/>
              <w:rPr>
                <w:rFonts w:ascii="Verdana" w:hAnsi="Verdana"/>
                <w:color w:val="000000"/>
                <w:sz w:val="20"/>
                <w:szCs w:val="20"/>
              </w:rPr>
            </w:pPr>
            <w:r>
              <w:rPr>
                <w:rFonts w:ascii="Verdana" w:hAnsi="Verdana"/>
                <w:color w:val="000000"/>
                <w:sz w:val="20"/>
                <w:szCs w:val="20"/>
              </w:rPr>
              <w:t>Nom du distributeur</w:t>
            </w:r>
          </w:p>
        </w:tc>
      </w:tr>
      <w:tr>
        <w:trPr>
          <w:cantSplit w:val="true"/>
        </w:trPr>
        <w:tc>
          <w:tcPr>
            <w:tcW w:w="959" w:type="dx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shd w:color="auto" w:fill="D8D8D8" w:val="clear"/>
          </w:tcPr>
          <w:p>
            <w:pPr>
              <w:pStyle w:val="Normal"/>
              <w:jc w:val="both"/>
              <w:rPr>
                <w:rFonts w:ascii="Verdana" w:hAnsi="Verdana"/>
                <w:b/>
                <w:b/>
                <w:color w:val="000000"/>
                <w:sz w:val="20"/>
                <w:szCs w:val="20"/>
              </w:rPr>
            </w:pPr>
            <w:r>
              <w:rPr>
                <w:rFonts w:ascii="Verdana" w:hAnsi="Verdana"/>
                <w:b/>
                <w:color w:val="000000"/>
                <w:sz w:val="20"/>
                <w:szCs w:val="20"/>
              </w:rPr>
              <w:t>Siret Etablissement</w:t>
            </w:r>
          </w:p>
        </w:tc>
        <w:tc>
          <w:tcPr>
            <w:tcW w:w="4365" w:type="dxa"/>
            <w:tcBorders/>
            <w:shd w:color="auto" w:fill="D8D8D8" w:val="clear"/>
          </w:tcPr>
          <w:p>
            <w:pPr>
              <w:pStyle w:val="Normal"/>
              <w:jc w:val="both"/>
              <w:rPr>
                <w:rFonts w:ascii="Verdana" w:hAnsi="Verdana"/>
                <w:color w:val="000000"/>
                <w:sz w:val="20"/>
                <w:szCs w:val="20"/>
              </w:rPr>
            </w:pPr>
            <w:r>
              <w:rPr>
                <w:rFonts w:ascii="Verdana" w:hAnsi="Verdana"/>
                <w:color w:val="000000"/>
                <w:sz w:val="20"/>
                <w:szCs w:val="20"/>
              </w:rPr>
              <w:t>Code SIRET de l’établissement secondaire où ont eu lieu les ventes</w:t>
            </w:r>
          </w:p>
        </w:tc>
      </w:tr>
      <w:tr>
        <w:trPr>
          <w:cantSplit w:val="true"/>
        </w:trPr>
        <w:tc>
          <w:tcPr>
            <w:tcW w:w="959" w:type="dx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shd w:fill="auto" w:val="clear"/>
          </w:tcPr>
          <w:p>
            <w:pPr>
              <w:pStyle w:val="Normal"/>
              <w:jc w:val="both"/>
              <w:rPr>
                <w:rFonts w:ascii="Verdana" w:hAnsi="Verdana"/>
                <w:b/>
                <w:b/>
                <w:color w:val="000000"/>
                <w:sz w:val="20"/>
                <w:szCs w:val="20"/>
              </w:rPr>
            </w:pPr>
            <w:r>
              <w:rPr>
                <w:rFonts w:ascii="Verdana" w:hAnsi="Verdana"/>
                <w:b/>
                <w:color w:val="000000"/>
                <w:sz w:val="20"/>
                <w:szCs w:val="20"/>
              </w:rPr>
              <w:t>Nom Etablissement</w:t>
            </w:r>
          </w:p>
        </w:tc>
        <w:tc>
          <w:tcPr>
            <w:tcW w:w="4365" w:type="dxa"/>
            <w:tcBorders/>
            <w:shd w:fill="auto" w:val="clear"/>
          </w:tcPr>
          <w:p>
            <w:pPr>
              <w:pStyle w:val="Normal"/>
              <w:jc w:val="both"/>
              <w:rPr>
                <w:rFonts w:ascii="Verdana" w:hAnsi="Verdana"/>
                <w:color w:val="000000"/>
                <w:sz w:val="20"/>
                <w:szCs w:val="20"/>
              </w:rPr>
            </w:pPr>
            <w:r>
              <w:rPr>
                <w:rFonts w:ascii="Verdana" w:hAnsi="Verdana"/>
                <w:color w:val="000000"/>
                <w:sz w:val="20"/>
                <w:szCs w:val="20"/>
              </w:rPr>
              <w:t>Nom de l’établissement secondaire</w:t>
            </w:r>
          </w:p>
        </w:tc>
      </w:tr>
      <w:tr>
        <w:trPr>
          <w:cantSplit w:val="true"/>
        </w:trPr>
        <w:tc>
          <w:tcPr>
            <w:tcW w:w="959" w:type="dx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shd w:color="auto" w:fill="D8D8D8" w:val="clear"/>
          </w:tcPr>
          <w:p>
            <w:pPr>
              <w:pStyle w:val="Normal"/>
              <w:jc w:val="both"/>
              <w:rPr>
                <w:rFonts w:ascii="Verdana" w:hAnsi="Verdana"/>
                <w:b/>
                <w:b/>
                <w:color w:val="000000"/>
                <w:sz w:val="20"/>
                <w:szCs w:val="20"/>
              </w:rPr>
            </w:pPr>
            <w:r>
              <w:rPr>
                <w:rFonts w:ascii="Verdana" w:hAnsi="Verdana"/>
                <w:b/>
                <w:color w:val="000000"/>
                <w:sz w:val="20"/>
                <w:szCs w:val="20"/>
              </w:rPr>
              <w:t>Code postal acheteur</w:t>
            </w:r>
          </w:p>
        </w:tc>
        <w:tc>
          <w:tcPr>
            <w:tcW w:w="4365" w:type="dxa"/>
            <w:tcBorders/>
            <w:shd w:color="auto" w:fill="D8D8D8" w:val="clear"/>
          </w:tcPr>
          <w:p>
            <w:pPr>
              <w:pStyle w:val="Normal"/>
              <w:jc w:val="both"/>
              <w:rPr>
                <w:rFonts w:ascii="Verdana" w:hAnsi="Verdana"/>
                <w:color w:val="000000"/>
                <w:sz w:val="20"/>
                <w:szCs w:val="20"/>
              </w:rPr>
            </w:pPr>
            <w:r>
              <w:rPr>
                <w:rFonts w:ascii="Verdana" w:hAnsi="Verdana"/>
                <w:color w:val="000000"/>
                <w:sz w:val="20"/>
                <w:szCs w:val="20"/>
              </w:rPr>
              <w:t>Code postal de l’acheteur</w:t>
            </w:r>
          </w:p>
        </w:tc>
      </w:tr>
      <w:tr>
        <w:trPr>
          <w:cantSplit w:val="true"/>
        </w:trPr>
        <w:tc>
          <w:tcPr>
            <w:tcW w:w="959" w:type="dx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shd w:fill="auto" w:val="clear"/>
          </w:tcPr>
          <w:p>
            <w:pPr>
              <w:pStyle w:val="Normal"/>
              <w:jc w:val="both"/>
              <w:rPr>
                <w:rFonts w:ascii="Verdana" w:hAnsi="Verdana"/>
                <w:b/>
                <w:b/>
                <w:color w:val="000000"/>
                <w:sz w:val="20"/>
                <w:szCs w:val="20"/>
              </w:rPr>
            </w:pPr>
            <w:r>
              <w:rPr>
                <w:rFonts w:ascii="Verdana" w:hAnsi="Verdana"/>
                <w:b/>
                <w:color w:val="000000"/>
                <w:sz w:val="20"/>
                <w:szCs w:val="20"/>
              </w:rPr>
              <w:t>AMM</w:t>
            </w:r>
          </w:p>
        </w:tc>
        <w:tc>
          <w:tcPr>
            <w:tcW w:w="4365" w:type="dxa"/>
            <w:tcBorders/>
            <w:shd w:fill="auto" w:val="clear"/>
          </w:tcPr>
          <w:p>
            <w:pPr>
              <w:pStyle w:val="Normal"/>
              <w:jc w:val="both"/>
              <w:rPr>
                <w:rFonts w:ascii="Verdana" w:hAnsi="Verdana"/>
                <w:color w:val="000000"/>
                <w:sz w:val="20"/>
                <w:szCs w:val="20"/>
              </w:rPr>
            </w:pPr>
            <w:r>
              <w:rPr>
                <w:rFonts w:ascii="Verdana" w:hAnsi="Verdana"/>
                <w:color w:val="000000"/>
                <w:sz w:val="20"/>
                <w:szCs w:val="20"/>
              </w:rPr>
              <w:t>N° d’autorisation de mise sur le marché du produit</w:t>
            </w:r>
          </w:p>
        </w:tc>
      </w:tr>
      <w:tr>
        <w:trPr>
          <w:cantSplit w:val="true"/>
        </w:trPr>
        <w:tc>
          <w:tcPr>
            <w:tcW w:w="959" w:type="dx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shd w:color="auto" w:fill="D8D8D8" w:val="clear"/>
          </w:tcPr>
          <w:p>
            <w:pPr>
              <w:pStyle w:val="Normal"/>
              <w:jc w:val="both"/>
              <w:rPr>
                <w:rFonts w:ascii="Verdana" w:hAnsi="Verdana"/>
                <w:b/>
                <w:b/>
                <w:color w:val="000000"/>
                <w:sz w:val="20"/>
                <w:szCs w:val="20"/>
              </w:rPr>
            </w:pPr>
            <w:r>
              <w:rPr>
                <w:rFonts w:ascii="Verdana" w:hAnsi="Verdana"/>
                <w:b/>
                <w:color w:val="000000"/>
                <w:sz w:val="20"/>
                <w:szCs w:val="20"/>
              </w:rPr>
              <w:t>Exemple de nom de produit</w:t>
            </w:r>
          </w:p>
        </w:tc>
        <w:tc>
          <w:tcPr>
            <w:tcW w:w="4365" w:type="dxa"/>
            <w:tcBorders/>
            <w:shd w:color="auto" w:fill="D8D8D8" w:val="clear"/>
          </w:tcPr>
          <w:p>
            <w:pPr>
              <w:pStyle w:val="Normal"/>
              <w:jc w:val="both"/>
              <w:rPr>
                <w:rFonts w:ascii="Verdana" w:hAnsi="Verdana"/>
                <w:color w:val="000000"/>
                <w:sz w:val="20"/>
                <w:szCs w:val="20"/>
              </w:rPr>
            </w:pPr>
            <w:r>
              <w:rPr>
                <w:rFonts w:ascii="Verdana" w:hAnsi="Verdana"/>
                <w:color w:val="000000"/>
                <w:sz w:val="20"/>
                <w:szCs w:val="20"/>
              </w:rPr>
              <w:t>Une des dénominations commerciales du produit</w:t>
            </w:r>
          </w:p>
        </w:tc>
      </w:tr>
      <w:tr>
        <w:trPr>
          <w:cantSplit w:val="true"/>
        </w:trPr>
        <w:tc>
          <w:tcPr>
            <w:tcW w:w="959" w:type="dx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shd w:fill="auto" w:val="clear"/>
          </w:tcPr>
          <w:p>
            <w:pPr>
              <w:pStyle w:val="Normal"/>
              <w:jc w:val="both"/>
              <w:rPr>
                <w:rFonts w:ascii="Verdana" w:hAnsi="Verdana"/>
                <w:b/>
                <w:b/>
                <w:color w:val="000000"/>
                <w:sz w:val="20"/>
                <w:szCs w:val="20"/>
              </w:rPr>
            </w:pPr>
            <w:r>
              <w:rPr>
                <w:rFonts w:ascii="Verdana" w:hAnsi="Verdana"/>
                <w:b/>
                <w:color w:val="000000"/>
                <w:sz w:val="20"/>
                <w:szCs w:val="20"/>
              </w:rPr>
              <w:t>Quantité produit</w:t>
            </w:r>
          </w:p>
        </w:tc>
        <w:tc>
          <w:tcPr>
            <w:tcW w:w="4365" w:type="dxa"/>
            <w:tcBorders/>
            <w:shd w:fill="auto" w:val="clear"/>
          </w:tcPr>
          <w:p>
            <w:pPr>
              <w:pStyle w:val="Normal"/>
              <w:jc w:val="both"/>
              <w:rPr>
                <w:rFonts w:ascii="Verdana" w:hAnsi="Verdana"/>
                <w:color w:val="000000"/>
                <w:sz w:val="20"/>
                <w:szCs w:val="20"/>
              </w:rPr>
            </w:pPr>
            <w:r>
              <w:rPr>
                <w:rFonts w:ascii="Verdana" w:hAnsi="Verdana"/>
                <w:color w:val="000000"/>
                <w:sz w:val="20"/>
                <w:szCs w:val="20"/>
              </w:rPr>
              <w:t>Quantité du produit vendue exprimée avec deux chiffres significatifs</w:t>
            </w:r>
          </w:p>
        </w:tc>
      </w:tr>
      <w:tr>
        <w:trPr>
          <w:cantSplit w:val="true"/>
        </w:trPr>
        <w:tc>
          <w:tcPr>
            <w:tcW w:w="959" w:type="dx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shd w:color="auto" w:fill="D9D9D9" w:themeFill="background1" w:themeFillShade="d9" w:val="clear"/>
          </w:tcPr>
          <w:p>
            <w:pPr>
              <w:pStyle w:val="Normal"/>
              <w:jc w:val="both"/>
              <w:rPr>
                <w:rFonts w:ascii="Verdana" w:hAnsi="Verdana"/>
                <w:b/>
                <w:b/>
                <w:color w:val="000000"/>
                <w:sz w:val="20"/>
                <w:szCs w:val="20"/>
              </w:rPr>
            </w:pPr>
            <w:r>
              <w:rPr>
                <w:rFonts w:ascii="Verdana" w:hAnsi="Verdana"/>
                <w:b/>
                <w:color w:val="000000"/>
                <w:sz w:val="20"/>
                <w:szCs w:val="20"/>
              </w:rPr>
              <w:t>Conditionnement</w:t>
            </w:r>
          </w:p>
        </w:tc>
        <w:tc>
          <w:tcPr>
            <w:tcW w:w="4365" w:type="dxa"/>
            <w:tcBorders/>
            <w:shd w:color="auto" w:fill="D9D9D9" w:themeFill="background1" w:themeFillShade="d9" w:val="clear"/>
          </w:tcPr>
          <w:p>
            <w:pPr>
              <w:pStyle w:val="Normal"/>
              <w:jc w:val="both"/>
              <w:rPr>
                <w:rFonts w:ascii="Verdana" w:hAnsi="Verdana"/>
                <w:color w:val="000000"/>
                <w:sz w:val="20"/>
                <w:szCs w:val="20"/>
              </w:rPr>
            </w:pPr>
            <w:r>
              <w:rPr>
                <w:rFonts w:ascii="Verdana" w:hAnsi="Verdana"/>
                <w:color w:val="000000"/>
                <w:sz w:val="20"/>
                <w:szCs w:val="20"/>
              </w:rPr>
              <w:t>Unité de conditionnement du produit :</w:t>
            </w:r>
          </w:p>
          <w:p>
            <w:pPr>
              <w:pStyle w:val="Normal"/>
              <w:numPr>
                <w:ilvl w:val="0"/>
                <w:numId w:val="1"/>
              </w:numPr>
              <w:jc w:val="both"/>
              <w:rPr>
                <w:rFonts w:ascii="Verdana" w:hAnsi="Verdana"/>
                <w:color w:val="000000"/>
                <w:sz w:val="20"/>
                <w:szCs w:val="20"/>
              </w:rPr>
            </w:pPr>
            <w:r>
              <w:rPr>
                <w:rFonts w:ascii="Verdana" w:hAnsi="Verdana"/>
                <w:color w:val="000000"/>
                <w:sz w:val="20"/>
                <w:szCs w:val="20"/>
              </w:rPr>
              <w:t>l : litres</w:t>
            </w:r>
          </w:p>
          <w:p>
            <w:pPr>
              <w:pStyle w:val="Normal"/>
              <w:numPr>
                <w:ilvl w:val="0"/>
                <w:numId w:val="1"/>
              </w:numPr>
              <w:jc w:val="both"/>
              <w:rPr>
                <w:rFonts w:ascii="Verdana" w:hAnsi="Verdana"/>
                <w:color w:val="000000"/>
                <w:sz w:val="20"/>
                <w:szCs w:val="20"/>
              </w:rPr>
            </w:pPr>
            <w:r>
              <w:rPr>
                <w:rFonts w:ascii="Verdana" w:hAnsi="Verdana"/>
                <w:color w:val="000000"/>
                <w:sz w:val="20"/>
                <w:szCs w:val="20"/>
              </w:rPr>
              <w:t>kg : kilogrammes</w:t>
            </w:r>
          </w:p>
        </w:tc>
      </w:tr>
      <w:tr>
        <w:trPr>
          <w:cantSplit w:val="true"/>
        </w:trPr>
        <w:tc>
          <w:tcPr>
            <w:tcW w:w="959" w:type="dx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shd w:fill="auto" w:val="clear"/>
          </w:tcPr>
          <w:p>
            <w:pPr>
              <w:pStyle w:val="Normal"/>
              <w:jc w:val="both"/>
              <w:rPr>
                <w:rFonts w:ascii="Verdana" w:hAnsi="Verdana"/>
                <w:b/>
                <w:b/>
                <w:color w:val="000000"/>
                <w:sz w:val="20"/>
                <w:szCs w:val="20"/>
              </w:rPr>
            </w:pPr>
            <w:r>
              <w:rPr>
                <w:rFonts w:ascii="Verdana" w:hAnsi="Verdana"/>
                <w:b/>
                <w:color w:val="000000"/>
                <w:sz w:val="20"/>
                <w:szCs w:val="20"/>
              </w:rPr>
              <w:t>EAJ</w:t>
            </w:r>
          </w:p>
        </w:tc>
        <w:tc>
          <w:tcPr>
            <w:tcW w:w="4365" w:type="dxa"/>
            <w:tcBorders/>
            <w:shd w:fill="auto" w:val="clear"/>
          </w:tcPr>
          <w:p>
            <w:pPr>
              <w:pStyle w:val="Normal"/>
              <w:jc w:val="both"/>
              <w:rPr>
                <w:rFonts w:ascii="Verdana" w:hAnsi="Verdana"/>
                <w:color w:val="000000"/>
                <w:sz w:val="20"/>
                <w:szCs w:val="20"/>
              </w:rPr>
            </w:pPr>
            <w:r>
              <w:rPr>
                <w:rFonts w:ascii="Verdana" w:hAnsi="Verdana"/>
                <w:color w:val="000000"/>
                <w:sz w:val="20"/>
                <w:szCs w:val="20"/>
              </w:rPr>
              <w:t>Indicateur (Oui/Non) d’autorisation d’emploi du produit dans les jardins</w:t>
            </w:r>
          </w:p>
        </w:tc>
      </w:tr>
      <w:tr>
        <w:trPr>
          <w:cantSplit w:val="true"/>
        </w:trPr>
        <w:tc>
          <w:tcPr>
            <w:tcW w:w="959" w:type="dx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shd w:color="auto" w:fill="D8D8D8" w:val="clear"/>
          </w:tcPr>
          <w:p>
            <w:pPr>
              <w:pStyle w:val="Normal"/>
              <w:jc w:val="both"/>
              <w:rPr>
                <w:rFonts w:ascii="Verdana" w:hAnsi="Verdana"/>
                <w:b/>
                <w:b/>
                <w:color w:val="000000"/>
                <w:sz w:val="20"/>
                <w:szCs w:val="20"/>
              </w:rPr>
            </w:pPr>
            <w:r>
              <w:rPr>
                <w:rFonts w:ascii="Verdana" w:hAnsi="Verdana"/>
                <w:b/>
                <w:color w:val="000000"/>
                <w:sz w:val="20"/>
                <w:szCs w:val="20"/>
              </w:rPr>
              <w:t>Substance</w:t>
            </w:r>
          </w:p>
        </w:tc>
        <w:tc>
          <w:tcPr>
            <w:tcW w:w="4365" w:type="dxa"/>
            <w:tcBorders/>
            <w:shd w:color="auto" w:fill="D8D8D8" w:val="clear"/>
          </w:tcPr>
          <w:p>
            <w:pPr>
              <w:pStyle w:val="Normal"/>
              <w:jc w:val="both"/>
              <w:rPr>
                <w:rFonts w:ascii="Verdana" w:hAnsi="Verdana"/>
                <w:color w:val="000000"/>
                <w:sz w:val="20"/>
                <w:szCs w:val="20"/>
              </w:rPr>
            </w:pPr>
            <w:r>
              <w:rPr>
                <w:rFonts w:ascii="Verdana" w:hAnsi="Verdana"/>
                <w:color w:val="000000"/>
                <w:sz w:val="20"/>
                <w:szCs w:val="20"/>
              </w:rPr>
              <w:t>Nom de la substance contenue dans le produit</w:t>
            </w:r>
          </w:p>
        </w:tc>
      </w:tr>
      <w:tr>
        <w:trPr>
          <w:cantSplit w:val="true"/>
        </w:trPr>
        <w:tc>
          <w:tcPr>
            <w:tcW w:w="959" w:type="dx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shd w:fill="auto" w:val="clear"/>
          </w:tcPr>
          <w:p>
            <w:pPr>
              <w:pStyle w:val="Normal"/>
              <w:jc w:val="both"/>
              <w:rPr>
                <w:rFonts w:ascii="Verdana" w:hAnsi="Verdana"/>
                <w:b/>
                <w:b/>
                <w:color w:val="000000"/>
                <w:sz w:val="20"/>
                <w:szCs w:val="20"/>
              </w:rPr>
            </w:pPr>
            <w:r>
              <w:rPr>
                <w:rFonts w:ascii="Verdana" w:hAnsi="Verdana"/>
                <w:b/>
                <w:color w:val="000000"/>
                <w:sz w:val="20"/>
                <w:szCs w:val="20"/>
              </w:rPr>
              <w:t>N° CAS</w:t>
            </w:r>
          </w:p>
        </w:tc>
        <w:tc>
          <w:tcPr>
            <w:tcW w:w="4365" w:type="dxa"/>
            <w:tcBorders/>
            <w:shd w:fill="auto" w:val="clear"/>
          </w:tcPr>
          <w:p>
            <w:pPr>
              <w:pStyle w:val="Normal"/>
              <w:jc w:val="both"/>
              <w:rPr>
                <w:rFonts w:ascii="Verdana" w:hAnsi="Verdana"/>
                <w:color w:val="000000"/>
                <w:sz w:val="20"/>
                <w:szCs w:val="20"/>
              </w:rPr>
            </w:pPr>
            <w:r>
              <w:rPr>
                <w:rFonts w:ascii="Verdana" w:hAnsi="Verdana"/>
                <w:color w:val="000000"/>
                <w:sz w:val="20"/>
                <w:szCs w:val="20"/>
              </w:rPr>
              <w:t>N° CAS de la substance contenue dans le produit</w:t>
            </w:r>
          </w:p>
        </w:tc>
      </w:tr>
      <w:tr>
        <w:trPr>
          <w:cantSplit w:val="true"/>
        </w:trPr>
        <w:tc>
          <w:tcPr>
            <w:tcW w:w="959" w:type="dx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shd w:color="auto" w:fill="D9D9D9" w:themeFill="background1" w:themeFillShade="d9" w:val="clear"/>
          </w:tcPr>
          <w:p>
            <w:pPr>
              <w:pStyle w:val="Normal"/>
              <w:jc w:val="both"/>
              <w:rPr>
                <w:rFonts w:ascii="Verdana" w:hAnsi="Verdana"/>
                <w:b/>
                <w:b/>
                <w:color w:val="000000"/>
                <w:sz w:val="20"/>
                <w:szCs w:val="20"/>
              </w:rPr>
            </w:pPr>
            <w:r>
              <w:rPr>
                <w:rFonts w:ascii="Verdana" w:hAnsi="Verdana"/>
                <w:b/>
                <w:color w:val="000000"/>
                <w:sz w:val="20"/>
                <w:szCs w:val="20"/>
              </w:rPr>
              <w:t>Classification</w:t>
            </w:r>
          </w:p>
        </w:tc>
        <w:tc>
          <w:tcPr>
            <w:tcW w:w="4365" w:type="dxa"/>
            <w:tcBorders/>
            <w:shd w:color="auto" w:fill="D9D9D9" w:themeFill="background1" w:themeFillShade="d9" w:val="clear"/>
          </w:tcPr>
          <w:p>
            <w:pPr>
              <w:pStyle w:val="Normal"/>
              <w:jc w:val="both"/>
              <w:rPr>
                <w:rFonts w:ascii="Verdana" w:hAnsi="Verdana"/>
                <w:color w:val="000000"/>
                <w:sz w:val="20"/>
                <w:szCs w:val="20"/>
              </w:rPr>
            </w:pPr>
            <w:r>
              <w:rPr>
                <w:rFonts w:ascii="Verdana" w:hAnsi="Verdana"/>
                <w:color w:val="000000"/>
                <w:sz w:val="20"/>
                <w:szCs w:val="20"/>
              </w:rPr>
              <w:t>Classement de la substance au titre de la redevance pour pollution diffuse :</w:t>
            </w:r>
          </w:p>
          <w:p>
            <w:pPr>
              <w:pStyle w:val="Normal"/>
              <w:numPr>
                <w:ilvl w:val="0"/>
                <w:numId w:val="1"/>
              </w:numPr>
              <w:jc w:val="both"/>
              <w:rPr>
                <w:rFonts w:ascii="Verdana" w:hAnsi="Verdana"/>
                <w:color w:val="000000"/>
                <w:sz w:val="20"/>
                <w:szCs w:val="20"/>
              </w:rPr>
            </w:pPr>
            <w:r>
              <w:rPr>
                <w:rFonts w:ascii="Verdana" w:hAnsi="Verdana"/>
                <w:color w:val="000000"/>
                <w:sz w:val="20"/>
                <w:szCs w:val="20"/>
              </w:rPr>
              <w:t>N minéral (substance minérale dangereuse pour l’environnement)</w:t>
            </w:r>
          </w:p>
          <w:p>
            <w:pPr>
              <w:pStyle w:val="Normal"/>
              <w:numPr>
                <w:ilvl w:val="0"/>
                <w:numId w:val="1"/>
              </w:numPr>
              <w:jc w:val="both"/>
              <w:rPr>
                <w:rFonts w:ascii="Verdana" w:hAnsi="Verdana"/>
                <w:color w:val="000000"/>
                <w:sz w:val="20"/>
                <w:szCs w:val="20"/>
              </w:rPr>
            </w:pPr>
            <w:r>
              <w:rPr>
                <w:rFonts w:ascii="Verdana" w:hAnsi="Verdana"/>
                <w:color w:val="000000"/>
                <w:sz w:val="20"/>
                <w:szCs w:val="20"/>
              </w:rPr>
              <w:t>N Organique (substance organique dangereuse pour l’environnement)</w:t>
            </w:r>
          </w:p>
          <w:p>
            <w:pPr>
              <w:pStyle w:val="Normal"/>
              <w:numPr>
                <w:ilvl w:val="0"/>
                <w:numId w:val="1"/>
              </w:numPr>
              <w:jc w:val="both"/>
              <w:rPr>
                <w:rFonts w:ascii="Verdana" w:hAnsi="Verdana"/>
                <w:color w:val="000000"/>
                <w:sz w:val="20"/>
                <w:szCs w:val="20"/>
              </w:rPr>
            </w:pPr>
            <w:r>
              <w:rPr>
                <w:rFonts w:ascii="Verdana" w:hAnsi="Verdana"/>
                <w:color w:val="000000"/>
                <w:sz w:val="20"/>
                <w:szCs w:val="20"/>
              </w:rPr>
              <w:t>T, T+, CMR (substance toxique, très toxique, cancérogène, mutagène, toxique pour la reproduction)</w:t>
            </w:r>
          </w:p>
          <w:p>
            <w:pPr>
              <w:pStyle w:val="Normal"/>
              <w:numPr>
                <w:ilvl w:val="0"/>
                <w:numId w:val="1"/>
              </w:numPr>
              <w:jc w:val="both"/>
              <w:rPr>
                <w:rFonts w:ascii="Verdana" w:hAnsi="Verdana"/>
                <w:color w:val="000000"/>
                <w:sz w:val="20"/>
                <w:szCs w:val="20"/>
              </w:rPr>
            </w:pPr>
            <w:r>
              <w:rPr>
                <w:rFonts w:ascii="Verdana" w:hAnsi="Verdana"/>
                <w:color w:val="000000"/>
                <w:sz w:val="20"/>
                <w:szCs w:val="20"/>
              </w:rPr>
              <w:t>Autre</w:t>
            </w:r>
          </w:p>
        </w:tc>
      </w:tr>
      <w:tr>
        <w:trPr>
          <w:cantSplit w:val="true"/>
        </w:trPr>
        <w:tc>
          <w:tcPr>
            <w:tcW w:w="959" w:type="dxa"/>
            <w:tcBorders>
              <w:bottom w:val="single" w:sz="18" w:space="0" w:color="00000A"/>
              <w:insideH w:val="single" w:sz="18" w:space="0" w:color="00000A"/>
            </w:tcBorders>
            <w:shd w:color="auto" w:fill="9BBB59" w:val="clear"/>
          </w:tcPr>
          <w:p>
            <w:pPr>
              <w:pStyle w:val="Normal"/>
              <w:jc w:val="center"/>
              <w:rPr>
                <w:rFonts w:ascii="Arial" w:hAnsi="Arial" w:cs="Arial"/>
                <w:b/>
                <w:b/>
                <w:bCs/>
                <w:color w:val="FFFFFF"/>
              </w:rPr>
            </w:pPr>
            <w:r>
              <w:rPr>
                <w:rFonts w:cs="Arial" w:ascii="Arial" w:hAnsi="Arial"/>
                <w:b/>
                <w:bCs/>
                <w:color w:val="FFFFFF"/>
              </w:rPr>
            </w:r>
          </w:p>
        </w:tc>
        <w:tc>
          <w:tcPr>
            <w:tcW w:w="3964" w:type="dxa"/>
            <w:tcBorders>
              <w:bottom w:val="single" w:sz="18" w:space="0" w:color="00000A"/>
              <w:insideH w:val="single" w:sz="18" w:space="0" w:color="00000A"/>
            </w:tcBorders>
            <w:shd w:fill="auto" w:val="clear"/>
          </w:tcPr>
          <w:p>
            <w:pPr>
              <w:pStyle w:val="Normal"/>
              <w:jc w:val="both"/>
              <w:rPr>
                <w:rFonts w:ascii="Verdana" w:hAnsi="Verdana"/>
                <w:b/>
                <w:b/>
                <w:color w:val="000000"/>
                <w:sz w:val="20"/>
                <w:szCs w:val="20"/>
              </w:rPr>
            </w:pPr>
            <w:r>
              <w:rPr>
                <w:rFonts w:ascii="Verdana" w:hAnsi="Verdana"/>
                <w:b/>
                <w:color w:val="000000"/>
                <w:sz w:val="20"/>
                <w:szCs w:val="20"/>
              </w:rPr>
              <w:t>Quantité (Kg)</w:t>
            </w:r>
          </w:p>
        </w:tc>
        <w:tc>
          <w:tcPr>
            <w:tcW w:w="4365" w:type="dxa"/>
            <w:tcBorders>
              <w:bottom w:val="single" w:sz="18" w:space="0" w:color="00000A"/>
              <w:insideH w:val="single" w:sz="18" w:space="0" w:color="00000A"/>
            </w:tcBorders>
            <w:shd w:fill="auto" w:val="clear"/>
          </w:tcPr>
          <w:p>
            <w:pPr>
              <w:pStyle w:val="Normal"/>
              <w:jc w:val="both"/>
              <w:rPr>
                <w:rFonts w:ascii="Verdana" w:hAnsi="Verdana"/>
                <w:color w:val="000000"/>
                <w:sz w:val="20"/>
                <w:szCs w:val="20"/>
              </w:rPr>
            </w:pPr>
            <w:r>
              <w:rPr>
                <w:rFonts w:ascii="Verdana" w:hAnsi="Verdana"/>
                <w:color w:val="000000"/>
                <w:sz w:val="20"/>
                <w:szCs w:val="20"/>
              </w:rPr>
              <w:t>Quantité de substance vendue exprimée en Kg avec un nombre de chiffres significatifs quelconque.</w:t>
            </w:r>
          </w:p>
        </w:tc>
      </w:tr>
    </w:tbl>
    <w:p>
      <w:pPr>
        <w:pStyle w:val="Normal"/>
        <w:jc w:val="both"/>
        <w:rPr/>
      </w:pPr>
      <w:r>
        <w:rPr/>
      </w:r>
    </w:p>
    <w:sectPr>
      <w:headerReference w:type="default" r:id="rId5"/>
      <w:footerReference w:type="default" r:id="rId6"/>
      <w:type w:val="nextPage"/>
      <w:pgSz w:w="11906" w:h="16838"/>
      <w:pgMar w:left="1418" w:right="1418" w:header="709"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Verdana">
    <w:charset w:val="01"/>
    <w:family w:val="roman"/>
    <w:pitch w:val="variable"/>
  </w:font>
  <w:font w:name="Liberation Sans">
    <w:altName w:val="Arial"/>
    <w:charset w:val="01"/>
    <w:family w:val="swiss"/>
    <w:pitch w:val="variable"/>
  </w:font>
  <w:font w:name="Arial">
    <w:charset w:val="01"/>
    <w:family w:val="roman"/>
    <w:pitch w:val="variable"/>
  </w:font>
  <w:font w:name="Tahom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rStyle w:val="Pagenumber"/>
        <w:rFonts w:cs="Arial" w:ascii="Arial" w:hAnsi="Arial"/>
        <w:sz w:val="20"/>
        <w:szCs w:val="20"/>
      </w:rPr>
      <w:fldChar w:fldCharType="begin"/>
    </w:r>
    <w:r>
      <w:rPr>
        <w:rStyle w:val="Pagenumber"/>
        <w:sz w:val="20"/>
        <w:szCs w:val="20"/>
        <w:rFonts w:cs="Arial" w:ascii="Arial" w:hAnsi="Arial"/>
      </w:rPr>
      <w:instrText> PAGE </w:instrText>
    </w:r>
    <w:r>
      <w:rPr>
        <w:rStyle w:val="Pagenumber"/>
        <w:sz w:val="20"/>
        <w:szCs w:val="20"/>
        <w:rFonts w:cs="Arial" w:ascii="Arial" w:hAnsi="Arial"/>
      </w:rPr>
      <w:fldChar w:fldCharType="separate"/>
    </w:r>
    <w:r>
      <w:rPr>
        <w:rStyle w:val="Pagenumber"/>
        <w:sz w:val="20"/>
        <w:szCs w:val="20"/>
        <w:rFonts w:cs="Arial" w:ascii="Arial" w:hAnsi="Arial"/>
      </w:rPr>
      <w:t>3</w:t>
    </w:r>
    <w:r>
      <w:rPr>
        <w:rStyle w:val="Pagenumber"/>
        <w:sz w:val="20"/>
        <w:szCs w:val="20"/>
        <w:rFonts w:cs="Arial" w:ascii="Arial" w:hAnsi="Arial"/>
      </w:rPr>
      <w:fldChar w:fldCharType="end"/>
    </w:r>
    <w:r>
      <w:rPr>
        <w:rStyle w:val="Pagenumber"/>
        <w:rFonts w:cs="Arial" w:ascii="Arial" w:hAnsi="Arial"/>
        <w:sz w:val="20"/>
        <w:szCs w:val="20"/>
      </w:rPr>
      <w:t>/</w:t>
    </w:r>
    <w:r>
      <w:rPr>
        <w:rStyle w:val="Pagenumber"/>
        <w:rFonts w:cs="Arial" w:ascii="Arial" w:hAnsi="Arial"/>
        <w:sz w:val="20"/>
        <w:szCs w:val="20"/>
      </w:rPr>
      <w:fldChar w:fldCharType="begin"/>
    </w:r>
    <w:r>
      <w:rPr>
        <w:rStyle w:val="Pagenumber"/>
        <w:sz w:val="20"/>
        <w:szCs w:val="20"/>
        <w:rFonts w:cs="Arial" w:ascii="Arial" w:hAnsi="Arial"/>
      </w:rPr>
      <w:instrText> NUMPAGES </w:instrText>
    </w:r>
    <w:r>
      <w:rPr>
        <w:rStyle w:val="Pagenumber"/>
        <w:sz w:val="20"/>
        <w:szCs w:val="20"/>
        <w:rFonts w:cs="Arial" w:ascii="Arial" w:hAnsi="Arial"/>
      </w:rPr>
      <w:fldChar w:fldCharType="separate"/>
    </w:r>
    <w:r>
      <w:rPr>
        <w:rStyle w:val="Pagenumber"/>
        <w:sz w:val="20"/>
        <w:szCs w:val="20"/>
        <w:rFonts w:cs="Arial" w:ascii="Arial" w:hAnsi="Arial"/>
      </w:rPr>
      <w:t>3</w:t>
    </w:r>
    <w:r>
      <w:rPr>
        <w:rStyle w:val="Pagenumber"/>
        <w:sz w:val="20"/>
        <w:szCs w:val="20"/>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right" w:pos="9000" w:leader="none"/>
        <w:tab w:val="right" w:pos="14040" w:leader="none"/>
      </w:tabs>
      <w:rPr>
        <w:rFonts w:ascii="Arial" w:hAnsi="Arial" w:cs="Arial"/>
        <w:sz w:val="20"/>
        <w:szCs w:val="20"/>
      </w:rPr>
    </w:pP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1c0d"/>
    <w:pPr>
      <w:widowControl/>
      <w:bidi w:val="0"/>
      <w:jc w:val="left"/>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e334f4"/>
    <w:rPr/>
  </w:style>
  <w:style w:type="character" w:styleId="LienInternet">
    <w:name w:val="Lien Internet"/>
    <w:rsid w:val="00ec2325"/>
    <w:rPr>
      <w:color w:val="0000FF"/>
      <w:u w:val="single"/>
    </w:rPr>
  </w:style>
  <w:style w:type="character" w:styleId="NotedebasdepageCar" w:customStyle="1">
    <w:name w:val="Note de bas de page Car"/>
    <w:basedOn w:val="DefaultParagraphFont"/>
    <w:link w:val="Notedebasdepage"/>
    <w:qFormat/>
    <w:rsid w:val="00c46d2a"/>
    <w:rPr>
      <w:rFonts w:ascii="Calibri" w:hAnsi="Calibri"/>
      <w:lang w:val="en-US" w:eastAsia="en-US" w:bidi="en-US"/>
    </w:rPr>
  </w:style>
  <w:style w:type="character" w:styleId="Ancredenotedebasdepage">
    <w:name w:val="Ancre de note de bas de page"/>
    <w:rPr>
      <w:vertAlign w:val="superscript"/>
    </w:rPr>
  </w:style>
  <w:style w:type="character" w:styleId="FootnoteCharacters">
    <w:name w:val="Footnote Characters"/>
    <w:unhideWhenUsed/>
    <w:qFormat/>
    <w:rsid w:val="00c46d2a"/>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Times New Roman" w:cs="Arial"/>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b/>
      <w:i w:val="false"/>
      <w:color w:val="00000A"/>
      <w:u w:val="none"/>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ascii="Verdana" w:hAnsi="Verdana"/>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rFonts w:ascii="Verdana" w:hAnsi="Verdana" w:cs="Arial"/>
      <w:sz w:val="20"/>
      <w:szCs w:val="20"/>
    </w:rPr>
  </w:style>
  <w:style w:type="paragraph" w:styleId="Titre">
    <w:name w:val="Titre"/>
    <w:basedOn w:val="Normal"/>
    <w:next w:val="Corpsdetexte"/>
    <w:qFormat/>
    <w:pPr>
      <w:keepNext w:val="true"/>
      <w:spacing w:before="240" w:after="120"/>
    </w:pPr>
    <w:rPr>
      <w:rFonts w:ascii="Liberation Sans" w:hAnsi="Liberation Sans" w:eastAsia="Noto Sans CJK SC Regular"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
    <w:name w:val="Header"/>
    <w:basedOn w:val="Normal"/>
    <w:rsid w:val="001c058a"/>
    <w:pPr>
      <w:tabs>
        <w:tab w:val="center" w:pos="4536" w:leader="none"/>
        <w:tab w:val="right" w:pos="9072" w:leader="none"/>
      </w:tabs>
    </w:pPr>
    <w:rPr/>
  </w:style>
  <w:style w:type="paragraph" w:styleId="Pieddepage">
    <w:name w:val="Footer"/>
    <w:basedOn w:val="Normal"/>
    <w:rsid w:val="001c058a"/>
    <w:pPr>
      <w:tabs>
        <w:tab w:val="center" w:pos="4536" w:leader="none"/>
        <w:tab w:val="right" w:pos="9072" w:leader="none"/>
      </w:tabs>
    </w:pPr>
    <w:rPr/>
  </w:style>
  <w:style w:type="paragraph" w:styleId="NormalWeb">
    <w:name w:val="Normal (Web)"/>
    <w:basedOn w:val="Normal"/>
    <w:qFormat/>
    <w:rsid w:val="00c3056d"/>
    <w:pPr>
      <w:spacing w:beforeAutospacing="1" w:after="119"/>
    </w:pPr>
    <w:rPr/>
  </w:style>
  <w:style w:type="paragraph" w:styleId="Default" w:customStyle="1">
    <w:name w:val="Default"/>
    <w:qFormat/>
    <w:rsid w:val="00497814"/>
    <w:pPr>
      <w:widowControl/>
      <w:bidi w:val="0"/>
      <w:jc w:val="left"/>
    </w:pPr>
    <w:rPr>
      <w:rFonts w:ascii="Arial" w:hAnsi="Arial" w:cs="Arial" w:eastAsia="Times New Roman"/>
      <w:color w:val="000000"/>
      <w:kern w:val="0"/>
      <w:sz w:val="24"/>
      <w:szCs w:val="24"/>
      <w:lang w:val="fr-FR" w:eastAsia="fr-FR" w:bidi="ar-SA"/>
    </w:rPr>
  </w:style>
  <w:style w:type="paragraph" w:styleId="BalloonText">
    <w:name w:val="Balloon Text"/>
    <w:basedOn w:val="Normal"/>
    <w:semiHidden/>
    <w:qFormat/>
    <w:rsid w:val="009b7adf"/>
    <w:pPr/>
    <w:rPr>
      <w:rFonts w:ascii="Tahoma" w:hAnsi="Tahoma" w:cs="Tahoma"/>
      <w:sz w:val="16"/>
      <w:szCs w:val="16"/>
    </w:rPr>
  </w:style>
  <w:style w:type="paragraph" w:styleId="Western" w:customStyle="1">
    <w:name w:val="western"/>
    <w:basedOn w:val="Normal"/>
    <w:qFormat/>
    <w:rsid w:val="00604496"/>
    <w:pPr>
      <w:spacing w:beforeAutospacing="1" w:after="62"/>
      <w:jc w:val="both"/>
    </w:pPr>
    <w:rPr>
      <w:sz w:val="22"/>
      <w:szCs w:val="22"/>
    </w:rPr>
  </w:style>
  <w:style w:type="paragraph" w:styleId="Notedebasdepage">
    <w:name w:val="Footnote Text"/>
    <w:basedOn w:val="Normal"/>
    <w:link w:val="NotedebasdepageCar"/>
    <w:unhideWhenUsed/>
    <w:rsid w:val="00c46d2a"/>
    <w:pPr>
      <w:ind w:firstLine="360"/>
    </w:pPr>
    <w:rPr>
      <w:rFonts w:ascii="Calibri" w:hAnsi="Calibri"/>
      <w:sz w:val="20"/>
      <w:szCs w:val="20"/>
      <w:lang w:val="en-US" w:eastAsia="en-US" w:bidi="en-US"/>
    </w:rPr>
  </w:style>
  <w:style w:type="paragraph" w:styleId="ListParagraph">
    <w:name w:val="List Paragraph"/>
    <w:basedOn w:val="Normal"/>
    <w:uiPriority w:val="34"/>
    <w:qFormat/>
    <w:rsid w:val="001a6d78"/>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rsid w:val="005667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gifrance.gouv.fr/affichTexte.do?cidTexte=JORFTEXT000000649171" TargetMode="External"/><Relationship Id="rId3" Type="http://schemas.openxmlformats.org/officeDocument/2006/relationships/hyperlink" Target="http://www.legifrance.gouv.fr/affichCode.do;jsessionid=9D0E261011F1BE745FB95127C44BD6F5.tpdjo08v_2?idSectionTA=LEGISCTA000006195230&amp;cidTexte=LEGITEXT000006074220&amp;dateTexte=20111220" TargetMode="External"/><Relationship Id="rId4" Type="http://schemas.openxmlformats.org/officeDocument/2006/relationships/hyperlink" Target="http://redevancephyto.developpement-durable.gouv.fr/reglementation"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nds_afb.dot</Template>
  <TotalTime>23</TotalTime>
  <Application>LibreOffice/6.0.3.2$Linux_X86_64 LibreOffice_project/00m0$Build-2</Application>
  <Pages>3</Pages>
  <Words>706</Words>
  <Characters>3969</Characters>
  <CharactersWithSpaces>4608</CharactersWithSpaces>
  <Paragraphs>58</Paragraphs>
  <Company>Onema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2018-05-09T16:42:00Z</dcterms:created>
  <dc:creator>COUDERCY Laurent</dc:creator>
  <dc:description/>
  <dc:language>fr-FR</dc:language>
  <cp:lastModifiedBy>ANDRADE Antonio</cp:lastModifiedBy>
  <cp:lastPrinted>2010-12-03T15:09:00Z</cp:lastPrinted>
  <dcterms:modified xsi:type="dcterms:W3CDTF">2018-06-12T05:56:00Z</dcterms:modified>
  <cp:revision>20</cp:revision>
  <dc:subject/>
  <dc:title>FICHE DESCRIPTIVE D’UN PROCESSUS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Onema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